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0A" w:rsidRPr="0045020A" w:rsidRDefault="0045020A" w:rsidP="0045020A">
      <w:pPr>
        <w:shd w:val="clear" w:color="auto" w:fill="FFFFFF"/>
        <w:spacing w:before="360" w:after="36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Отчет за 2020 год о деятельности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Григорьевского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сельского округа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Аккайынского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района Северо-Казахстанской области по вопросам оказания государственных услуг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Общие положения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Услугодателям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является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Григорьевского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сельский округ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Аккайынского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района Северо-Казахстанской области.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Всего местным исполнительным органом оказано 8 государственных услуг.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На бесплатной основе оказываются 8 государственных услуг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В бумажной форме оказано 12 государственных услуг, в электронной форме</w:t>
      </w: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br/>
        <w:t>140 государственная услуга, в том числе через веб-портал «Электронного правительства» 140 государственных услуг.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По 8 государственным услугам имеются утвержденные стандарты и регламенты государственных услуг согласно Реестру государственных услуг, утвержденного постановлением Правительства РК от 18 сентября 2013 года № 983.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Наиболее востребованные государственные услуги:</w:t>
      </w:r>
    </w:p>
    <w:p w:rsidR="0045020A" w:rsidRPr="0045020A" w:rsidRDefault="0045020A" w:rsidP="0045020A">
      <w:pPr>
        <w:numPr>
          <w:ilvl w:val="0"/>
          <w:numId w:val="1"/>
        </w:numPr>
        <w:shd w:val="clear" w:color="auto" w:fill="FFFFFF"/>
        <w:spacing w:before="45" w:after="45" w:line="312" w:lineRule="atLeast"/>
        <w:ind w:left="300" w:right="195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«Предоставление земельного участка для строительства объекта в черте населенного пункта» — оказана 1 государственная услуга;</w:t>
      </w:r>
    </w:p>
    <w:p w:rsidR="0045020A" w:rsidRPr="0045020A" w:rsidRDefault="0045020A" w:rsidP="0045020A">
      <w:pPr>
        <w:numPr>
          <w:ilvl w:val="0"/>
          <w:numId w:val="1"/>
        </w:numPr>
        <w:shd w:val="clear" w:color="auto" w:fill="FFFFFF"/>
        <w:spacing w:before="45" w:after="45" w:line="312" w:lineRule="atLeast"/>
        <w:ind w:left="300" w:right="195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Приобретение прав на земельные участки, которые находятся в государственной собственности, не требующие проведение торгов (конкурсов, аукционов) — оказано 0 государственных услуг;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Работа с услуга получателями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В целях доступности и информирования населения по вопросам оказания государственных услуг в аппарате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акима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Григорьевского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сельского округа размещены стенды с наглядной информацией (стандарты, образцы заявлений, Ф.И.О. ответственных сотрудников за оказание государственных услуг), а также информация об оказании государственных услуг размещена на официальном сайте.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На официальном сайте имеется раздел «Государственные услуги»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Принимаются меры по созданию условий предоставления услуг населению. Государственный орган обеспечен необходимой компьютерной оргтехникой, посадочными местами для ожидания, оформлены стенды с наглядной информацией по процедуре оказания услуг, созданы все условия для потребителей услуг с ограниченными возможностями, оборудованы пандусы.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lastRenderedPageBreak/>
        <w:t xml:space="preserve">За 2020 год было проведено 2 публичных обсуждения отчета о деятельности в сфере оказания государственных услуг КГУ «Аппарат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акима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Григорьевского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сельского округа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Аккайынского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района Северо-Казахстанской области»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Деятельность по совершенствованию процессов оказания государственных услуг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Вопрос оптимизации и автоматизации государственных услуг находится на постоянном контроле. По сравнению с 2019 увеличилось количество оказанных государственных услуг на 10. Данный факт свидетельствует об информированности граждан о способах получения государственных услуг.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Для сотрудников, ответственных за оказание государственных, на постоянной основе проводятся правовые всеобучи, аппаратные совещания.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Контроль за качеством оказания государственных услуг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За отчетный период жалоб от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услугополучателей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по вопросу оказания государственных услуг в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Григорьевский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сельский округ не поступало.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В рамках внутреннего контроля за качеством оказания государственных услуг ежемесячно предоставляется отчет об оказанных государственных услугах в отдел государственных услуг аппарата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акима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Аккайынского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района.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За отчетный период контроль осуществляемый уполномоченным органом — нарушений не выявил.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Перспективы дальнейшей эффективности и повышения удовлетворенности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услугополучателей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качеством оказания государственных услуг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Вопросы дальнейшего повышения качества и своевременности оказания государственных услуг находятся на контроле, принимаются меры по недопущению нарушений порядка оказания государственных услуг.</w:t>
      </w:r>
    </w:p>
    <w:p w:rsidR="00B3759B" w:rsidRDefault="00B3759B"/>
    <w:p w:rsidR="0045020A" w:rsidRDefault="0045020A"/>
    <w:p w:rsidR="0045020A" w:rsidRPr="0045020A" w:rsidRDefault="0045020A" w:rsidP="0045020A">
      <w:pPr>
        <w:shd w:val="clear" w:color="auto" w:fill="FFFFFF"/>
        <w:spacing w:before="360" w:after="36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Солтүстiк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Қазақстан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облысы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Аққайың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ауданы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Григорьевка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ауылдық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округімен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көрсетiлетiн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қызметтер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ұсыну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мәселелерi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бойынша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қызметi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жөнiндегi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2020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жылға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арналған</w:t>
      </w:r>
      <w:proofErr w:type="spellEnd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1976D2"/>
          <w:sz w:val="27"/>
          <w:szCs w:val="27"/>
          <w:lang w:eastAsia="ru-RU"/>
        </w:rPr>
        <w:t>есеп</w:t>
      </w:r>
      <w:proofErr w:type="spellEnd"/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Жалпы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ережелер</w:t>
      </w:r>
      <w:proofErr w:type="spellEnd"/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Солтүстiк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Қазақстан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облысы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Аққайың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ауданының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Григорьевка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ауылдық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округі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ұсынушылар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болып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табылады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lastRenderedPageBreak/>
        <w:t>Тегiн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негiзде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8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көрсетiледi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.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Қағаз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түрiнде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12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көрсетiлдi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электрондық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нысанда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140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қызметтер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соның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iшiнде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«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Электрондық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үкiмет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» веб-портал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арқылы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140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тiзiлiмiне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сәйкес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8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қызметтер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бойынша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бекiтiлген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стандарттары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мен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регламенттерi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бар, 2013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жылғы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18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қыркүйектегi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№983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Қазақстан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Республикасының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Үкiметiмен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бекiтiлген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Сұранысқа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ие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болған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қызметтер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:</w:t>
      </w:r>
    </w:p>
    <w:p w:rsidR="0045020A" w:rsidRPr="0045020A" w:rsidRDefault="0045020A" w:rsidP="0045020A">
      <w:pPr>
        <w:numPr>
          <w:ilvl w:val="0"/>
          <w:numId w:val="2"/>
        </w:numPr>
        <w:shd w:val="clear" w:color="auto" w:fill="FFFFFF"/>
        <w:spacing w:before="45" w:after="45" w:line="312" w:lineRule="atLeast"/>
        <w:ind w:left="300" w:right="195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Елді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мекен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шегінде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объект салу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үшін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жер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учаскесін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беру— 1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көрсетiлдi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;</w:t>
      </w:r>
    </w:p>
    <w:p w:rsidR="0045020A" w:rsidRPr="0045020A" w:rsidRDefault="0045020A" w:rsidP="0045020A">
      <w:pPr>
        <w:numPr>
          <w:ilvl w:val="0"/>
          <w:numId w:val="2"/>
        </w:numPr>
        <w:shd w:val="clear" w:color="auto" w:fill="FFFFFF"/>
        <w:spacing w:before="45" w:after="45" w:line="312" w:lineRule="atLeast"/>
        <w:ind w:left="300" w:right="195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«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Сауда-саттықты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gram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(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конкурстарды</w:t>
      </w:r>
      <w:proofErr w:type="gram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,аукциондарды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)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өткізуді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талап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етпейтін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меншігіндегі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жер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учаскелеріне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құқықтарды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алу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»— 0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көрсетiлдi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;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алушылармен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жұмыс</w:t>
      </w:r>
      <w:proofErr w:type="spellEnd"/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Бөлiмдерде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және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ауылдық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округ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әкiмдерi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аппараттарында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қызметтер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мәселелерi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жөнiндегi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қолжетiмдi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және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халықты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ақпараттандыру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мақсатында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стендтер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мен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көрнекi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ақпараттар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орналастырылған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(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стандарттар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өтiнiш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үлгiлерi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көрсетуге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жауапты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қызметкерлердiң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Т.А.Ж.),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сондай-ақ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туралы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ақпарат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олардың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ресми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сайттарында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орналастырылған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Сайтта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мемлекеттік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қызметтер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бөлімі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бар.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Халыққа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көрсетуге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жағдай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жасау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бойынша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шаралар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қабылданады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.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Барлық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органдар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қажеттi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компьютерлiк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техникамен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күтуге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арналған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орындармен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қамтамасыз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етiлген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қызметтер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бойынша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тәртiбi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бар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көрнекi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ақпаратты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стендiлер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рәсiмделдi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мүмкiндiктерi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шектеулi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тұтынушылардың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рәсiмi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үшiн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барлық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жағдай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жасалған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пандустармен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жабдықтандырылған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2020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жылға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дейін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«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Солтүстік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Қазақстан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облысы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Аққайың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ауданы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Григорьевка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ауылдық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округінің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әкімі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аппараты» КММ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мемлекеттік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бойынша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іс-шаралар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туралы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баяндаманы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қоғамдық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талқылау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2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рет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өткізілді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қызметтердi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барыстарын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жетiлдiру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бойынша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қызмет</w:t>
      </w:r>
      <w:proofErr w:type="spellEnd"/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қызметердi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оңтайландыру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және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автоматтандыру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үнемi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бақылауда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br/>
        <w:t xml:space="preserve">2019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салыстырғанда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қызметтердiң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көрсетiлген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саны 10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өстi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. Осы факт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қызметтердi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алу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туралы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тәсiлдерiн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азаматтарға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хабардар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туралы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Жауапты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қызметкерлердiң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үшiн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тұрақты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негiзде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құқықтық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жалпы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оқытулар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аппараттық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кеңестер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жүргiзiледi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lastRenderedPageBreak/>
        <w:t>Мемлекеттiк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қызметтердi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көрсетудiң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сапасын</w:t>
      </w:r>
      <w:proofErr w:type="spellEnd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b/>
          <w:bCs/>
          <w:color w:val="3B3B3B"/>
          <w:sz w:val="27"/>
          <w:szCs w:val="27"/>
          <w:lang w:eastAsia="ru-RU"/>
        </w:rPr>
        <w:t>бақылау</w:t>
      </w:r>
      <w:proofErr w:type="spellEnd"/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Есептi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кезеңде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Григорьевка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ауылдық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округінде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қызметтер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мәселесi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бойынша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алушылардан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шағымдар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түскен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жоқ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Iшкi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бақылау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аясында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Аққайың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ауданы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әкiмi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аппаратының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ақпараттық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бөлiмiне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сапасы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туралы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ай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сайын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есеп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тапсырылады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Есепті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кезеңде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бақылау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уәкілетті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жүзеге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асыратын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органмен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бұзушылықтар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анықталған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жоқ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Алдағы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уақыттағы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тиiмдiлiктiң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басымдықтары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мен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қызметтердi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көрсетудiң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сапасына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алушылардың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қанағаттануын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арттыру</w:t>
      </w:r>
      <w:proofErr w:type="spellEnd"/>
    </w:p>
    <w:p w:rsidR="0045020A" w:rsidRPr="0045020A" w:rsidRDefault="0045020A" w:rsidP="0045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</w:pP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сапасын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одан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әрi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арттыру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және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сұрақтар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және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уақытылы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бақылауда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,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мемлекеттiк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қызмет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көрсету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тәртiбiне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бұзушылықтарға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жол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бермеу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бойынша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шаралар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 xml:space="preserve"> </w:t>
      </w:r>
      <w:proofErr w:type="spellStart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қабылданады</w:t>
      </w:r>
      <w:proofErr w:type="spellEnd"/>
      <w:r w:rsidRPr="0045020A">
        <w:rPr>
          <w:rFonts w:ascii="Roboto" w:eastAsia="Times New Roman" w:hAnsi="Roboto" w:cs="Times New Roman"/>
          <w:color w:val="3B3B3B"/>
          <w:sz w:val="27"/>
          <w:szCs w:val="27"/>
          <w:lang w:eastAsia="ru-RU"/>
        </w:rPr>
        <w:t>.</w:t>
      </w:r>
    </w:p>
    <w:p w:rsidR="0045020A" w:rsidRDefault="0045020A">
      <w:bookmarkStart w:id="0" w:name="_GoBack"/>
      <w:bookmarkEnd w:id="0"/>
    </w:p>
    <w:sectPr w:rsidR="0045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3F94"/>
    <w:multiLevelType w:val="multilevel"/>
    <w:tmpl w:val="AB5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A2EDE"/>
    <w:multiLevelType w:val="multilevel"/>
    <w:tmpl w:val="6B32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0A"/>
    <w:rsid w:val="0045020A"/>
    <w:rsid w:val="00B3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37BE-7994-4B03-99BE-9705969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0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2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2022-04-15T09:33:00Z</dcterms:created>
  <dcterms:modified xsi:type="dcterms:W3CDTF">2022-04-15T09:34:00Z</dcterms:modified>
</cp:coreProperties>
</file>